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C9045" w14:textId="77777777" w:rsidR="00116E8F" w:rsidRPr="00A97020" w:rsidRDefault="00116E8F" w:rsidP="00750BE7">
      <w:pPr>
        <w:ind w:left="0" w:right="-1"/>
        <w:jc w:val="center"/>
        <w:rPr>
          <w:rFonts w:ascii="Times New Roman" w:hAnsi="Times New Roman" w:cs="Times New Roman"/>
        </w:rPr>
      </w:pPr>
      <w:r w:rsidRPr="00A97020">
        <w:rPr>
          <w:rFonts w:ascii="Times New Roman" w:hAnsi="Times New Roman" w:cs="Times New Roman"/>
        </w:rPr>
        <w:t>ИНФОРМАЦИЯ</w:t>
      </w:r>
    </w:p>
    <w:p w14:paraId="4DE77524" w14:textId="77777777" w:rsidR="00CF5A92" w:rsidRPr="00A97020" w:rsidRDefault="00116E8F" w:rsidP="00750BE7">
      <w:pPr>
        <w:ind w:left="0" w:right="-1"/>
        <w:jc w:val="center"/>
        <w:rPr>
          <w:rFonts w:ascii="Times New Roman" w:hAnsi="Times New Roman" w:cs="Times New Roman"/>
        </w:rPr>
      </w:pPr>
      <w:r w:rsidRPr="00A97020">
        <w:rPr>
          <w:rFonts w:ascii="Times New Roman" w:hAnsi="Times New Roman" w:cs="Times New Roman"/>
        </w:rPr>
        <w:t>ОБ ОСНОВНЫХ ИТОГАХ КОНТРОЛЬНОГО МЕРОПРИЯТИЯ</w:t>
      </w:r>
    </w:p>
    <w:p w14:paraId="4385CA42" w14:textId="77777777" w:rsidR="00CF5A92" w:rsidRPr="00A97020" w:rsidRDefault="00CF5A92" w:rsidP="00750BE7">
      <w:pPr>
        <w:ind w:left="0" w:right="-1"/>
        <w:jc w:val="center"/>
        <w:rPr>
          <w:rFonts w:ascii="Times New Roman" w:hAnsi="Times New Roman" w:cs="Times New Roman"/>
        </w:rPr>
      </w:pPr>
      <w:r w:rsidRPr="00A97020">
        <w:rPr>
          <w:rFonts w:ascii="Times New Roman" w:hAnsi="Times New Roman" w:cs="Times New Roman"/>
        </w:rPr>
        <w:t xml:space="preserve"> «Проверка законности, результативности, эффективного использования бюджетных средств в финансовом отделе администрации Кромского района»</w:t>
      </w:r>
    </w:p>
    <w:p w14:paraId="7EAD1A31" w14:textId="77777777" w:rsidR="00116E8F" w:rsidRPr="00A97020" w:rsidRDefault="00116E8F" w:rsidP="00750BE7">
      <w:pPr>
        <w:ind w:left="0" w:right="-1"/>
        <w:rPr>
          <w:rFonts w:ascii="Times New Roman" w:hAnsi="Times New Roman" w:cs="Times New Roman"/>
        </w:rPr>
      </w:pPr>
    </w:p>
    <w:p w14:paraId="2B3FB08B"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 xml:space="preserve">Основание для проведения контрольного мероприятия: п.2.2. раздела 2 плана работы Контрольно-счетной палаты Кромского района на 2024 год, утвержденного распоряжением председателя Контрольно-счетной палаты от 25 декабря 2023 года №8-ксп. </w:t>
      </w:r>
    </w:p>
    <w:p w14:paraId="45649BB6"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Цель контрольного мероприятия: проверка законности, результативности, эффективного использования бюджетных средств.</w:t>
      </w:r>
    </w:p>
    <w:p w14:paraId="3FB67F71" w14:textId="77777777" w:rsidR="00116E8F"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Предмет проверки: нормативно-правовые акты, бухгалтерская отчетность, бюджетная смета, бюджетная отчетность, первичные учетные документы, подтверждающие поступление и расходование бюджетных средств, регистры бухгалтерского учета, распорядительные и иные документы, обосновывающие операции с денежными средствами, поступающие в учреждение для осуществления деятельности в соответствии с учредительными документами.</w:t>
      </w:r>
    </w:p>
    <w:p w14:paraId="5743E239"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Финансовый отдел является структурным подразделением Администрации Кромского района Орловской области и обладает статусом финансового органа, обеспечивающим формирование и реализацию бюджетной, финансовой и кредитной политики муниципального образования Кромской район, главным администратором бюджетных средств Кромского района</w:t>
      </w:r>
    </w:p>
    <w:p w14:paraId="624A8C2E"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 xml:space="preserve">В проверяемом периоде деятельность Финансового отдела регулировалась «Положением о финансовом отделе Администрации Кромского района Орловской области», утвержденным решением Кромского районного Совета народных депутатов от 15.10.2010 г. № 38-4рс.  Учредителем Финансового отдела является Администрация Кромского района Орловской области. Финансовый отдел является юридическим лицом. </w:t>
      </w:r>
    </w:p>
    <w:p w14:paraId="60F0BAFE"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Для осуществления функций ГРБС, ПБС Финансовый отдел имеет открытые лицевые счета в УФК по Орловской области</w:t>
      </w:r>
    </w:p>
    <w:p w14:paraId="0E428CE6" w14:textId="609D93D3"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 xml:space="preserve">Решением Кромского районного Совета народных депутатов «О районном бюджете на 2022 год  и на плановый период 2023 и 2024 годов» от 24 декабря  2021 года  № 4-1 рс» Финансовому отделу, как главному распорядителю бюджетных средств  (код 314) утверждены  бюджетные назначения на 2022 год по расходам в объеме 81987,987 тыс. рублей, </w:t>
      </w:r>
    </w:p>
    <w:p w14:paraId="2A24193D"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Сводной бюджетной росписью на 2022 год Финансовому отделу предусмотрены бюджетные назначения в объеме 81987,987 тыс. рублей.</w:t>
      </w:r>
    </w:p>
    <w:p w14:paraId="45E91027"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 xml:space="preserve">Согласно данным бюджетного учета, Главной книги, раздела 2 «Расходы бюджета» Отчета ф. 0503127 по состоянию на 01.01.2023г, утвержденные бюджетные назначения составили 81987,987 тыс. рублей, что соответствует показателям сводной бюджетной росписи Финансового отдела. </w:t>
      </w:r>
    </w:p>
    <w:p w14:paraId="191D7D97" w14:textId="183CFA3E"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Бюджетные обязательства приняты Финансовым отделом в общем объеме 77529,108 тыс. рублей, что составляет 94,6 % от сводной бюджетной росписи.</w:t>
      </w:r>
    </w:p>
    <w:p w14:paraId="1B67C008" w14:textId="7658E846"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Бюджетные обязательства (денежные обязательства) сверх утвержденного Финансовому отделу объема бюджетных ассигнований и (или) лимитов бюджетных обязательств в 2022 году не принимались.</w:t>
      </w:r>
    </w:p>
    <w:p w14:paraId="763EB2E4"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r>
      <w:proofErr w:type="spellStart"/>
      <w:r w:rsidRPr="00A97020">
        <w:rPr>
          <w:rFonts w:ascii="Times New Roman" w:hAnsi="Times New Roman" w:cs="Times New Roman"/>
        </w:rPr>
        <w:t>Решнием</w:t>
      </w:r>
      <w:proofErr w:type="spellEnd"/>
      <w:r w:rsidRPr="00A97020">
        <w:rPr>
          <w:rFonts w:ascii="Times New Roman" w:hAnsi="Times New Roman" w:cs="Times New Roman"/>
        </w:rPr>
        <w:t xml:space="preserve"> Кромского районного Совета народных депутатов </w:t>
      </w:r>
      <w:proofErr w:type="spellStart"/>
      <w:r w:rsidRPr="00A97020">
        <w:rPr>
          <w:rFonts w:ascii="Times New Roman" w:hAnsi="Times New Roman" w:cs="Times New Roman"/>
        </w:rPr>
        <w:t>депутатов</w:t>
      </w:r>
      <w:proofErr w:type="spellEnd"/>
      <w:r w:rsidRPr="00A97020">
        <w:rPr>
          <w:rFonts w:ascii="Times New Roman" w:hAnsi="Times New Roman" w:cs="Times New Roman"/>
        </w:rPr>
        <w:t xml:space="preserve">  «О районном бюджете на 2023 год  и на плановый период 2024 и 2025 годов» от 23 декабря  2022 года  № 14-1рс» Финансовому отделу, как главному распорядителю бюджетных средств  (код 314) утверждены  бюджетные назначения на 2023 год по расходам в объеме 63685,069тыс. рублей, </w:t>
      </w:r>
    </w:p>
    <w:p w14:paraId="5E61D9AD"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Сводной бюджетной росписью на 2023 год Финансовому отделу предусмотрены бюджетные назначения в объеме 63685,069 тыс. рублей.</w:t>
      </w:r>
    </w:p>
    <w:p w14:paraId="6AE89DA2"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Согласно данным раздела 2 «Расходы бюджета» Отчета ф. 0503127 по состоянию на 01.01.2024г, утвержденные бюджетные назначения составили 63685,069 тыс. рублей, что соответствует показателям сводной бюджетной росписи.</w:t>
      </w:r>
    </w:p>
    <w:p w14:paraId="78F43D3E"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Бюджетные обязательства приняты Финансовым отделом в общем объеме 61826,819 тыс. рублей, что составляет 97,1 % от сводной бюджетной росписи.</w:t>
      </w:r>
    </w:p>
    <w:p w14:paraId="4CDE7B38"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Бюджетные обязательства (денежные обязательства) сверх утвержденного Финансовому отделу объема бюджетных ассигнований и (или) лимитов бюджетных обязательств в 2023 году не принимались.</w:t>
      </w:r>
    </w:p>
    <w:p w14:paraId="0E29EB63"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Статьей 8 Федерального закона от 06.12.2011 № 402-ФЗ «О бухгалтерском учете» (далее - Федеральный закон № 402-ФЗ) установлено, что совокупность способов ведения экономическим субъектом бухгалтерского учета составляет его учетную политику.</w:t>
      </w:r>
    </w:p>
    <w:p w14:paraId="7937F8D9"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14:paraId="73528C66"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lastRenderedPageBreak/>
        <w:tab/>
        <w:t>В соответствии с пунктом 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 организация и ведение бухгалтерского учета осуществляется субъектом учета в соответствии с учетной политикой, сформированной в соответствии с федеральными стандартами бухгалтерского учета.</w:t>
      </w:r>
    </w:p>
    <w:p w14:paraId="40E110BA"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Министерства финансов Российской Федерации от 30.12.2017 № 274н (далее – СГС «Учетная политика»), установлены единые требования к формированию, утверждению и изменению учетной политики, а также правила отражения в бухгалтерской (финансовой) отчетности последствий изменения учетной политики, оценочных значений и исправлений ошибок.</w:t>
      </w:r>
    </w:p>
    <w:p w14:paraId="154B8A29"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При этом положения СГС «Учетная политика» применяются одновременно с применением положений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 256н.</w:t>
      </w:r>
    </w:p>
    <w:p w14:paraId="0E001187"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В проверяемом периоде в Финансовом отделе действовала Учетная политика для целей бюджетного учета, утвержденная приказом Финансового отдела от 30.12.2014г № 74 (далее – Учетная политика).</w:t>
      </w:r>
    </w:p>
    <w:p w14:paraId="33AD1839"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В соответствии с частью 1 статьи 11 Федерального закона № 402-ФЗ, пунктом 1.5 Методических указаний по инвентаризации имущества и финансовых обязательств, утвержденных приказом Министерства финансов Российской Федерации от 13.06.1995 № 49 «Об утверждении Методических указаний по инвентаризации имущества и финансовых обязательств» , пунктом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 в целях составления годовой бюджетной отчетности проводится инвентаризация активов и обязательств в порядке, установленном экономическим субъектом в рамках формирования его учетной политики.</w:t>
      </w:r>
    </w:p>
    <w:p w14:paraId="128714AF"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(пункт 1.4 Методических указаний по инвентаризации имущества № 49).</w:t>
      </w:r>
    </w:p>
    <w:p w14:paraId="6331261C"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 xml:space="preserve">Пунктом 332 Инструкции № 157н установлено, что все материальные ценности,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 При этом случаи, когда проведение инвентаризации обязательно определены пунктами 81, 82 СГС «Концептуальные основы». </w:t>
      </w:r>
    </w:p>
    <w:p w14:paraId="6F8FE446"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 xml:space="preserve">Инвентаризация по состоянию на 01.01.2023г в Финансовом отделе проведена в соответствии с приказом о проведении инвентаризации от 30.12.2022 № 84. К проверке представлены инвентаризационные описи расчетов с покупателями, поставщиками и прочими дебиторами и кредиторами (форма 0504089), а также Акт о результатах инвентаризации (форма 0504835). </w:t>
      </w:r>
    </w:p>
    <w:p w14:paraId="7E35450A"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t xml:space="preserve">Инвентаризация по состоянию на 01.01.2024г в Финансовом отделе проведена в соответствии с Решением о проведении инвентаризации от 17.01.2024 № 1. К проверке представлены инвентаризационные описи расчетов с покупателями, поставщиками и прочими дебиторами и кредиторами (форма 0504089), а также Акт о результатах инвентаризации (форма 0504835). </w:t>
      </w:r>
    </w:p>
    <w:p w14:paraId="5CA69B53"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ab/>
      </w:r>
      <w:r w:rsidRPr="00A97020">
        <w:rPr>
          <w:rFonts w:ascii="Times New Roman" w:hAnsi="Times New Roman" w:cs="Times New Roman"/>
        </w:rPr>
        <w:tab/>
        <w:t xml:space="preserve">Согласно представленным Актам о результатах инвентаризации расхождений между фактическими данными и данными бухгалтерского учета не установлено. </w:t>
      </w:r>
    </w:p>
    <w:p w14:paraId="7EA1A161"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 xml:space="preserve">Согласно п. 1 ст. 221 Бюджетного кодекса РФ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14:paraId="19B90B77"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При выборочной проверке составления, утверждения и ведение бюджетной сметы установлено, что составление и утверждение бюджетной сметы Финансовым отделом осуществляется на основании приказа Финансового отдела от 14 ноября 2018 г № 60 «Об утверждении Порядка составления, утверждения и ведения бюджетной сметы финансового отдела администрации Кромского района   Орловской области».</w:t>
      </w:r>
    </w:p>
    <w:p w14:paraId="6AF98635"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 xml:space="preserve">Финансовое обеспечение деятельности Финансового отдела в проверяемом периоде </w:t>
      </w:r>
      <w:r w:rsidRPr="00A97020">
        <w:rPr>
          <w:rFonts w:ascii="Times New Roman" w:hAnsi="Times New Roman" w:cs="Times New Roman"/>
        </w:rPr>
        <w:lastRenderedPageBreak/>
        <w:t>осуществлялось за счет средств бюджета Кромского района на основании бюджетной сметы, показатели которой формируются в разрезе кодов классификации расходов бюджетов бюджетной классификации Российской Федерации с детализацией по разделам, подразделам, целевым статьям и видов расходов.</w:t>
      </w:r>
    </w:p>
    <w:p w14:paraId="019E7F04"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Выборочной проверкой соответствия данных бюджетных смет установлено следующее:</w:t>
      </w:r>
    </w:p>
    <w:p w14:paraId="387B7553"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 к бюджетной смете прилагаются обоснования (расчеты) плановых сметных показателей, используемых при формировании сметы;</w:t>
      </w:r>
    </w:p>
    <w:p w14:paraId="7350C5D2"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 утвержденные показатели бюджетных смет Финансового отдела на 2022г, 2023г соответствуют доведенным лимитам бюджетных обязательств на принятие и (или) исполнение бюджетных обязательств по обеспечению выполнения функций казенного учреждения, что соответствует п.2 ст.221 БК РФ.</w:t>
      </w:r>
    </w:p>
    <w:p w14:paraId="7CC1F854" w14:textId="77777777" w:rsidR="00116E8F"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При анализе бюджетной сметы за 2022 г. установлено: исполнены бюджетные назначения в сумме 77529,108 тыс.руб. в пределах утвержденных бюджетных назначений в сумме 81987,987 тыс.руб. на 94,6 %. Общая сумма неисполненных бюджетных назначений за 2022 г. составила 4458,879 тыс.руб.</w:t>
      </w:r>
    </w:p>
    <w:p w14:paraId="3860B636"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 xml:space="preserve">При анализе бюджетной сметы за 2023 г. установлено: исполнены бюджетные назначения в сумме 61826,819 тыс.руб. в пределах утвержденных бюджетных назначений в сумме 63685,069 тыс.руб. на 97,1 %. Общая сумма неисполненных бюджетных назначений за 2023 г. составила 1858,250 тыс.руб. </w:t>
      </w:r>
    </w:p>
    <w:p w14:paraId="713B0DA8"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Проверкой установлено, планирование бюджетных средств в проверяемом периоде 2022 г., 2023 г. проводилось в соответствии с кодами КБК по каждому виду расходов (раздел, подраздел, целевая статья, вид расхода).</w:t>
      </w:r>
    </w:p>
    <w:p w14:paraId="0187D049"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В ходе проверки использования (расходования) денежных средств на оплату труда, денежное содержание установлено следующее. Формы первичных учетных документов для организаций бюджетной сферы устанавливаются в соответствии с бюджетным законодательством Российской Федерации.</w:t>
      </w:r>
    </w:p>
    <w:p w14:paraId="524E2383"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В нарушении статьи 9 Федерального закона от 06декабря 2011г № 402-ФЗ) «О бухгалтерском учете»,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 начислении заработной платы не применялась  расчетная ведомость по ф 0504402 и не утверждалась руководителем.</w:t>
      </w:r>
    </w:p>
    <w:p w14:paraId="1AB52BC4"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Табель учета рабочего времени ежемесячно ведется не по форме 050442.</w:t>
      </w:r>
    </w:p>
    <w:p w14:paraId="335CAE9C" w14:textId="77777777" w:rsidR="00CF5A92" w:rsidRPr="00A97020" w:rsidRDefault="00CF5A92" w:rsidP="00750BE7">
      <w:pPr>
        <w:ind w:left="0" w:right="-1" w:firstLine="567"/>
        <w:rPr>
          <w:rFonts w:ascii="Times New Roman" w:hAnsi="Times New Roman" w:cs="Times New Roman"/>
        </w:rPr>
      </w:pPr>
      <w:r w:rsidRPr="00A97020">
        <w:rPr>
          <w:rFonts w:ascii="Times New Roman" w:hAnsi="Times New Roman" w:cs="Times New Roman"/>
        </w:rPr>
        <w:t>Кроме того, установлено нарушение требований, предъявляемых к оформлению фактов хозяйственной жизни первичными учетными документами (расчетная ведомость, карточка-справка), выразившиеся в отражении начисленных работникам сумм отпускных в связи с предоставлением отпуска за работу в зоне с льготным социально-экономическим статусом (ЧАЭС). Сумма начислений в 2022г-97,742 тыс.руб., в 2023- 87,687 тыс.руб. В бюджетном учете эти суммы не отражают, так как оплата дополнительного отпуска происходит за счет средств федерального бюджета через территориальный орган СФР.</w:t>
      </w:r>
    </w:p>
    <w:p w14:paraId="05A35730" w14:textId="77777777" w:rsidR="0085701C" w:rsidRPr="00A97020" w:rsidRDefault="0085701C" w:rsidP="00750BE7">
      <w:pPr>
        <w:ind w:left="0" w:right="-1" w:firstLine="567"/>
        <w:rPr>
          <w:rFonts w:ascii="Times New Roman" w:hAnsi="Times New Roman" w:cs="Times New Roman"/>
        </w:rPr>
      </w:pPr>
      <w:r w:rsidRPr="00A97020">
        <w:rPr>
          <w:rFonts w:ascii="Times New Roman" w:hAnsi="Times New Roman" w:cs="Times New Roman"/>
        </w:rPr>
        <w:t xml:space="preserve">     Проверкой правильности и обоснованности начисления пенсии за выслугу лет муниципальным служащим установлено следующее.</w:t>
      </w:r>
    </w:p>
    <w:p w14:paraId="66548EF9" w14:textId="77777777" w:rsidR="0085701C" w:rsidRPr="00A97020" w:rsidRDefault="0085701C" w:rsidP="00750BE7">
      <w:pPr>
        <w:ind w:left="0" w:right="-1" w:firstLine="567"/>
        <w:rPr>
          <w:rFonts w:ascii="Times New Roman" w:hAnsi="Times New Roman" w:cs="Times New Roman"/>
        </w:rPr>
      </w:pPr>
      <w:r w:rsidRPr="00A97020">
        <w:rPr>
          <w:rFonts w:ascii="Times New Roman" w:hAnsi="Times New Roman" w:cs="Times New Roman"/>
        </w:rPr>
        <w:t xml:space="preserve">Согласно п.5 ч.1 ст.23, ст. 24 Федерального закона от 02.03.2007 г. № 25-ФЗ «О муниципальной службе в Российской Федерации», п.5 ч.1 ст.23, ст. 24 Закона Орловской области от 09.01.2008 № 763-ОЗ, ч.5 п.25 Положения о муниципальной службе в Кромском районе, утвержденного решением Кромского районного Совета народных депутатов от 21 ноября 2016г № 3-5 рс муниципальному служащему гарантируется пенсионное обеспечение за выслугу лет.  </w:t>
      </w:r>
    </w:p>
    <w:p w14:paraId="54FDCBAF" w14:textId="77777777" w:rsidR="0085701C" w:rsidRPr="00A97020" w:rsidRDefault="0085701C" w:rsidP="00750BE7">
      <w:pPr>
        <w:ind w:left="0" w:right="-1" w:firstLine="567"/>
        <w:rPr>
          <w:rFonts w:ascii="Times New Roman" w:hAnsi="Times New Roman" w:cs="Times New Roman"/>
        </w:rPr>
      </w:pPr>
      <w:r w:rsidRPr="00A97020">
        <w:rPr>
          <w:rFonts w:ascii="Times New Roman" w:hAnsi="Times New Roman" w:cs="Times New Roman"/>
        </w:rPr>
        <w:t xml:space="preserve">КСП установлено, что выплата пенсии за выслугу лет назначена 47 лицам, замещавшим должности муниципальной службы. </w:t>
      </w:r>
    </w:p>
    <w:p w14:paraId="277BE1A0" w14:textId="77777777" w:rsidR="0085701C" w:rsidRPr="00A97020" w:rsidRDefault="0085701C" w:rsidP="00750BE7">
      <w:pPr>
        <w:ind w:left="0" w:right="-1" w:firstLine="567"/>
        <w:rPr>
          <w:rFonts w:ascii="Times New Roman" w:hAnsi="Times New Roman" w:cs="Times New Roman"/>
        </w:rPr>
      </w:pPr>
      <w:r w:rsidRPr="00A97020">
        <w:rPr>
          <w:rFonts w:ascii="Times New Roman" w:hAnsi="Times New Roman" w:cs="Times New Roman"/>
        </w:rPr>
        <w:t>В Отделе полностью сформированы пенсионные дела в разрезе получателей пенсии за выслугу лет.</w:t>
      </w:r>
    </w:p>
    <w:p w14:paraId="568B83ED" w14:textId="77777777" w:rsidR="0085701C" w:rsidRPr="00A97020" w:rsidRDefault="0085701C" w:rsidP="00750BE7">
      <w:pPr>
        <w:ind w:left="0" w:right="-1" w:firstLine="567"/>
        <w:rPr>
          <w:rFonts w:ascii="Times New Roman" w:hAnsi="Times New Roman" w:cs="Times New Roman"/>
        </w:rPr>
      </w:pPr>
      <w:r w:rsidRPr="00A97020">
        <w:rPr>
          <w:rFonts w:ascii="Times New Roman" w:hAnsi="Times New Roman" w:cs="Times New Roman"/>
        </w:rPr>
        <w:t>В проверяемом периоде доплаты к пенсиям муниципальных служащих регулировались положением «О порядке назначения, перерасчета, индексации, выплаты и доставки пенсии за выслугу лет муниципальным служащим и доплаты к трудовой пенсии по старости (инвалидности) лицам, замещающим на постоянной основе муниципальные должности Кромского района Орловской области», утвержденным решением Кромского районного Совета народных депутатов от 24 декабря 2009г № 31-17рс.</w:t>
      </w:r>
    </w:p>
    <w:p w14:paraId="4150FBE8" w14:textId="77777777" w:rsidR="00CF5A92" w:rsidRPr="00A97020" w:rsidRDefault="0085701C" w:rsidP="00750BE7">
      <w:pPr>
        <w:ind w:left="0" w:right="-1" w:firstLine="567"/>
        <w:rPr>
          <w:rFonts w:ascii="Times New Roman" w:hAnsi="Times New Roman" w:cs="Times New Roman"/>
        </w:rPr>
      </w:pPr>
      <w:r w:rsidRPr="00A97020">
        <w:rPr>
          <w:rFonts w:ascii="Times New Roman" w:hAnsi="Times New Roman" w:cs="Times New Roman"/>
        </w:rPr>
        <w:t xml:space="preserve">  Проверкой правильности и обоснованности начисления пенсии за выслугу лет сотрудникам, замещающим должности муниципальных служащих в целом нарушений не выявлено.</w:t>
      </w:r>
    </w:p>
    <w:p w14:paraId="5ADCC0D5" w14:textId="77777777" w:rsidR="0085701C" w:rsidRPr="00A97020" w:rsidRDefault="0085701C" w:rsidP="00750BE7">
      <w:pPr>
        <w:ind w:left="0" w:right="-1" w:firstLine="567"/>
        <w:rPr>
          <w:rFonts w:ascii="Times New Roman" w:hAnsi="Times New Roman" w:cs="Times New Roman"/>
        </w:rPr>
      </w:pPr>
      <w:r w:rsidRPr="00A97020">
        <w:rPr>
          <w:rFonts w:ascii="Times New Roman" w:hAnsi="Times New Roman" w:cs="Times New Roman"/>
        </w:rPr>
        <w:t xml:space="preserve">Проверкой достоверности и законности банковских операций за проверяемый период </w:t>
      </w:r>
      <w:r w:rsidRPr="00A97020">
        <w:rPr>
          <w:rFonts w:ascii="Times New Roman" w:hAnsi="Times New Roman" w:cs="Times New Roman"/>
        </w:rPr>
        <w:lastRenderedPageBreak/>
        <w:t xml:space="preserve">нарушений не установлено. </w:t>
      </w:r>
    </w:p>
    <w:p w14:paraId="61DE8524" w14:textId="77777777" w:rsidR="0085701C" w:rsidRPr="00A97020" w:rsidRDefault="0085701C" w:rsidP="00750BE7">
      <w:pPr>
        <w:ind w:left="0" w:right="-1" w:firstLine="567"/>
        <w:rPr>
          <w:rFonts w:ascii="Times New Roman" w:hAnsi="Times New Roman" w:cs="Times New Roman"/>
        </w:rPr>
      </w:pPr>
      <w:r w:rsidRPr="00A97020">
        <w:rPr>
          <w:rFonts w:ascii="Times New Roman" w:hAnsi="Times New Roman" w:cs="Times New Roman"/>
        </w:rPr>
        <w:t>При этом установлено, что выписки и платежные поручения, и заявки на кассовый расход, реестры на перечисление формируются в виде электронных документов и подписываются квалифицированной электронной подписью. Журналы операций № 2, 2/01 с безналичными денежными средствами формируются в бумажном виде. Таким образом, к журналам операций прикладываются не документы, а бумажные копии электронных документов. В соответствии с ч.1 «Общие положения» Методических указаний, утвержденных приказом Минфина РФ от 30 марта 2015г №52н копии электронных документов на бумажных носителях должны быть заверены в соответствии с положениями учетной политики. Решение о формировании документов в электронном виде и порядка оформления копий в учетной политике Финансового отдела не зафиксированы.</w:t>
      </w:r>
    </w:p>
    <w:p w14:paraId="30A6A725" w14:textId="77777777" w:rsidR="0085701C" w:rsidRPr="00A97020" w:rsidRDefault="0085701C" w:rsidP="00750BE7">
      <w:pPr>
        <w:ind w:left="0" w:right="-1" w:firstLine="567"/>
        <w:rPr>
          <w:rFonts w:ascii="Times New Roman" w:hAnsi="Times New Roman" w:cs="Times New Roman"/>
        </w:rPr>
      </w:pPr>
      <w:r w:rsidRPr="00A97020">
        <w:rPr>
          <w:rFonts w:ascii="Times New Roman" w:hAnsi="Times New Roman" w:cs="Times New Roman"/>
        </w:rPr>
        <w:t>В проверяемом периоде не проводились кассовые операции, расчеты с подотчетными лицами.</w:t>
      </w:r>
    </w:p>
    <w:p w14:paraId="046713F5" w14:textId="77777777" w:rsidR="00116E8F" w:rsidRPr="00A97020" w:rsidRDefault="0085701C" w:rsidP="00750BE7">
      <w:pPr>
        <w:ind w:left="0" w:right="-1" w:firstLine="567"/>
        <w:rPr>
          <w:rFonts w:ascii="Times New Roman" w:hAnsi="Times New Roman" w:cs="Times New Roman"/>
        </w:rPr>
      </w:pPr>
      <w:r w:rsidRPr="00A97020">
        <w:rPr>
          <w:rFonts w:ascii="Times New Roman" w:hAnsi="Times New Roman" w:cs="Times New Roman"/>
        </w:rPr>
        <w:t xml:space="preserve"> </w:t>
      </w:r>
      <w:r w:rsidRPr="00A97020">
        <w:rPr>
          <w:rFonts w:ascii="Times New Roman" w:hAnsi="Times New Roman" w:cs="Times New Roman"/>
        </w:rPr>
        <w:tab/>
        <w:t>Проверкой расчетов с поставщиками и подрядчиками нарушений не выявлено.</w:t>
      </w:r>
    </w:p>
    <w:p w14:paraId="0175457F" w14:textId="77777777" w:rsidR="00116E8F" w:rsidRPr="00A97020" w:rsidRDefault="00116E8F" w:rsidP="00750BE7">
      <w:pPr>
        <w:ind w:left="0" w:right="-1" w:firstLine="567"/>
        <w:rPr>
          <w:rFonts w:ascii="Times New Roman" w:hAnsi="Times New Roman" w:cs="Times New Roman"/>
        </w:rPr>
      </w:pPr>
      <w:r w:rsidRPr="00A97020">
        <w:rPr>
          <w:rFonts w:ascii="Times New Roman" w:hAnsi="Times New Roman" w:cs="Times New Roman"/>
        </w:rPr>
        <w:t>По результатам рассмотрения итогов контрольного мероприятия и принято решение о направлении информационного письма.</w:t>
      </w:r>
    </w:p>
    <w:p w14:paraId="0AF7C20D" w14:textId="77777777" w:rsidR="0085701C" w:rsidRPr="00A97020" w:rsidRDefault="0085701C" w:rsidP="00750BE7">
      <w:pPr>
        <w:ind w:left="0" w:right="-1" w:firstLine="567"/>
        <w:jc w:val="right"/>
        <w:rPr>
          <w:rFonts w:ascii="Times New Roman" w:hAnsi="Times New Roman" w:cs="Times New Roman"/>
        </w:rPr>
      </w:pPr>
      <w:r w:rsidRPr="00A97020">
        <w:rPr>
          <w:rFonts w:ascii="Times New Roman" w:hAnsi="Times New Roman" w:cs="Times New Roman"/>
        </w:rPr>
        <w:t>Подготовлено для размещения на сайт</w:t>
      </w:r>
    </w:p>
    <w:p w14:paraId="5DDC26F1" w14:textId="77777777" w:rsidR="00116E8F" w:rsidRPr="00A97020" w:rsidRDefault="00116E8F" w:rsidP="00750BE7">
      <w:pPr>
        <w:ind w:left="0" w:right="-1" w:firstLine="567"/>
        <w:jc w:val="center"/>
        <w:rPr>
          <w:rFonts w:ascii="Times New Roman" w:hAnsi="Times New Roman" w:cs="Times New Roman"/>
        </w:rPr>
      </w:pPr>
    </w:p>
    <w:p w14:paraId="61CED60F" w14:textId="77777777" w:rsidR="00116E8F" w:rsidRPr="00A97020" w:rsidRDefault="00116E8F" w:rsidP="00750BE7">
      <w:pPr>
        <w:ind w:left="0" w:right="-1" w:firstLine="567"/>
        <w:jc w:val="center"/>
        <w:rPr>
          <w:rFonts w:ascii="Times New Roman" w:hAnsi="Times New Roman" w:cs="Times New Roman"/>
        </w:rPr>
      </w:pPr>
    </w:p>
    <w:sectPr w:rsidR="00116E8F" w:rsidRPr="00A97020" w:rsidSect="0085701C">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8F"/>
    <w:rsid w:val="00116E8F"/>
    <w:rsid w:val="005A1376"/>
    <w:rsid w:val="00750BE7"/>
    <w:rsid w:val="0085701C"/>
    <w:rsid w:val="00A97020"/>
    <w:rsid w:val="00CF5A92"/>
    <w:rsid w:val="00F9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B6BA"/>
  <w15:chartTrackingRefBased/>
  <w15:docId w15:val="{AA57A5D3-59FA-4A88-AFE1-645519A2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left="567" w:right="78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2177</Words>
  <Characters>12411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UserPK</cp:lastModifiedBy>
  <cp:revision>5</cp:revision>
  <dcterms:created xsi:type="dcterms:W3CDTF">2024-12-27T07:44:00Z</dcterms:created>
  <dcterms:modified xsi:type="dcterms:W3CDTF">2024-12-27T16:43:00Z</dcterms:modified>
</cp:coreProperties>
</file>